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CD" w:rsidRPr="000D446F" w:rsidRDefault="008E7849">
      <w:pPr>
        <w:rPr>
          <w:b/>
          <w:sz w:val="28"/>
          <w:szCs w:val="28"/>
        </w:rPr>
      </w:pPr>
      <w:r w:rsidRPr="000D446F">
        <w:rPr>
          <w:b/>
          <w:sz w:val="28"/>
          <w:szCs w:val="28"/>
        </w:rPr>
        <w:t>Notatki z wykładów MMwT</w:t>
      </w:r>
    </w:p>
    <w:p w:rsidR="008E7849" w:rsidRDefault="008E7849"/>
    <w:p w:rsidR="008C04AC" w:rsidRPr="000D446F" w:rsidRDefault="000D446F">
      <w:pPr>
        <w:rPr>
          <w:b/>
        </w:rPr>
      </w:pPr>
      <w:r w:rsidRPr="000D446F">
        <w:rPr>
          <w:b/>
        </w:rPr>
        <w:t>P</w:t>
      </w:r>
      <w:r w:rsidR="008C04AC" w:rsidRPr="000D446F">
        <w:rPr>
          <w:b/>
        </w:rPr>
        <w:t>orządki liczbowe</w:t>
      </w:r>
    </w:p>
    <w:p w:rsidR="008C04AC" w:rsidRDefault="008C04AC"/>
    <w:p w:rsidR="008C04AC" w:rsidRDefault="008C04AC">
      <w:r>
        <w:t>{x</w:t>
      </w:r>
      <w:r>
        <w:rPr>
          <w:vertAlign w:val="subscript"/>
        </w:rPr>
        <w:t>i</w:t>
      </w:r>
      <w:r>
        <w:t>}, i = 1,. ..., n</w:t>
      </w:r>
    </w:p>
    <w:p w:rsidR="008C04AC" w:rsidRDefault="008C04AC"/>
    <w:p w:rsidR="008C04AC" w:rsidRDefault="008C04AC"/>
    <w:p w:rsidR="008C04AC" w:rsidRPr="008C04AC" w:rsidRDefault="008C04AC">
      <w:r>
        <w:t>porządek rosnący: x</w:t>
      </w:r>
      <w:r>
        <w:rPr>
          <w:vertAlign w:val="subscript"/>
        </w:rPr>
        <w:t xml:space="preserve">i </w:t>
      </w:r>
      <w:r>
        <w:t xml:space="preserve"> &lt;  x</w:t>
      </w:r>
      <w:r>
        <w:rPr>
          <w:vertAlign w:val="subscript"/>
        </w:rPr>
        <w:t xml:space="preserve">i+1 </w:t>
      </w:r>
      <w:r>
        <w:t>dla każdego i</w:t>
      </w:r>
    </w:p>
    <w:p w:rsidR="008C04AC" w:rsidRDefault="008C04AC"/>
    <w:p w:rsidR="008C04AC" w:rsidRPr="008C04AC" w:rsidRDefault="008C04AC" w:rsidP="008C04AC">
      <w:r>
        <w:t>porządek niemalejący: x</w:t>
      </w:r>
      <w:r>
        <w:rPr>
          <w:vertAlign w:val="subscript"/>
        </w:rPr>
        <w:t xml:space="preserve">i </w:t>
      </w:r>
      <w:r>
        <w:t xml:space="preserve"> </w:t>
      </w:r>
      <w:r>
        <w:sym w:font="Symbol" w:char="F0A3"/>
      </w:r>
      <w:r>
        <w:t xml:space="preserve">  x</w:t>
      </w:r>
      <w:r>
        <w:rPr>
          <w:vertAlign w:val="subscript"/>
        </w:rPr>
        <w:t xml:space="preserve">i+1 </w:t>
      </w:r>
      <w:r>
        <w:t>dla każdego i</w:t>
      </w:r>
    </w:p>
    <w:p w:rsidR="008C04AC" w:rsidRDefault="008C04AC"/>
    <w:p w:rsidR="008C04AC" w:rsidRPr="008C04AC" w:rsidRDefault="008C04AC" w:rsidP="008C04AC">
      <w:r>
        <w:t>porządek malejący: x</w:t>
      </w:r>
      <w:r>
        <w:rPr>
          <w:vertAlign w:val="subscript"/>
        </w:rPr>
        <w:t xml:space="preserve">i </w:t>
      </w:r>
      <w:r>
        <w:t xml:space="preserve"> &gt;  x</w:t>
      </w:r>
      <w:r>
        <w:rPr>
          <w:vertAlign w:val="subscript"/>
        </w:rPr>
        <w:t xml:space="preserve">i+1 </w:t>
      </w:r>
      <w:r>
        <w:t>dla każdego i</w:t>
      </w:r>
    </w:p>
    <w:p w:rsidR="008C04AC" w:rsidRDefault="008C04AC"/>
    <w:p w:rsidR="008C04AC" w:rsidRPr="008C04AC" w:rsidRDefault="008C04AC" w:rsidP="008C04AC">
      <w:r>
        <w:t>porządek nierosnący: x</w:t>
      </w:r>
      <w:r>
        <w:rPr>
          <w:vertAlign w:val="subscript"/>
        </w:rPr>
        <w:t xml:space="preserve">i </w:t>
      </w:r>
      <w:r>
        <w:t xml:space="preserve"> </w:t>
      </w:r>
      <w:r>
        <w:sym w:font="Symbol" w:char="F0B3"/>
      </w:r>
      <w:r>
        <w:t xml:space="preserve">  x</w:t>
      </w:r>
      <w:r>
        <w:rPr>
          <w:vertAlign w:val="subscript"/>
        </w:rPr>
        <w:t xml:space="preserve">i+1 </w:t>
      </w:r>
      <w:r>
        <w:t>dla każdego i</w:t>
      </w:r>
    </w:p>
    <w:p w:rsidR="008C04AC" w:rsidRDefault="008C04AC"/>
    <w:p w:rsidR="008C04AC" w:rsidRDefault="008C04AC"/>
    <w:p w:rsidR="008C04AC" w:rsidRDefault="008C04AC"/>
    <w:p w:rsidR="008C04AC" w:rsidRDefault="002F7E21">
      <w:pPr>
        <w:rPr>
          <w:b/>
        </w:rPr>
      </w:pPr>
      <w:r>
        <w:rPr>
          <w:b/>
          <w:noProof/>
          <w:lang w:eastAsia="pl-PL"/>
        </w:rPr>
        <w:pict>
          <v:oval id="_x0000_s1036" style="position:absolute;margin-left:383.1pt;margin-top:35.05pt;width:7.15pt;height:7.15pt;z-index:251668480" fillcolor="#92d050"/>
        </w:pict>
      </w:r>
      <w:r>
        <w:rPr>
          <w:b/>
          <w:noProof/>
          <w:lang w:eastAsia="pl-PL"/>
        </w:rPr>
        <w:pict>
          <v:oval id="_x0000_s1043" style="position:absolute;margin-left:202.8pt;margin-top:70.2pt;width:7.15pt;height:7.15pt;z-index:251675648" fillcolor="#92d050"/>
        </w:pict>
      </w:r>
      <w:r>
        <w:rPr>
          <w:b/>
          <w:noProof/>
          <w:lang w:eastAsia="pl-PL"/>
        </w:rPr>
        <w:pict>
          <v:oval id="_x0000_s1040" style="position:absolute;margin-left:105.9pt;margin-top:70.2pt;width:7.15pt;height:7.15pt;z-index:251672576" fillcolor="#92d050"/>
        </w:pict>
      </w:r>
      <w:r>
        <w:rPr>
          <w:b/>
          <w:noProof/>
          <w:lang w:eastAsia="pl-PL"/>
        </w:rPr>
        <w:pict>
          <v:oval id="_x0000_s1039" style="position:absolute;margin-left:47.2pt;margin-top:70.85pt;width:7.15pt;height:7.15pt;z-index:251671552" fillcolor="#92d050"/>
        </w:pict>
      </w:r>
      <w:r>
        <w:rPr>
          <w:b/>
          <w:noProof/>
          <w:lang w:eastAsia="pl-PL"/>
        </w:rPr>
        <w:pict>
          <v:oval id="_x0000_s1041" style="position:absolute;margin-left:85.45pt;margin-top:70.75pt;width:7.15pt;height:7.15pt;z-index:251673600" fillcolor="#92d050"/>
        </w:pict>
      </w:r>
      <w:r>
        <w:rPr>
          <w:b/>
          <w:noProof/>
          <w:lang w:eastAsia="pl-PL"/>
        </w:rPr>
        <w:pict>
          <v:oval id="_x0000_s1044" style="position:absolute;margin-left:126.9pt;margin-top:70.85pt;width:7.15pt;height:7.15pt;z-index:251676672" fillcolor="#92d050"/>
        </w:pict>
      </w:r>
      <w:r>
        <w:rPr>
          <w:b/>
          <w:noProof/>
          <w:lang w:eastAsia="pl-PL"/>
        </w:rPr>
        <w:pict>
          <v:oval id="_x0000_s1042" style="position:absolute;margin-left:157.15pt;margin-top:70.75pt;width:7.15pt;height:7.15pt;z-index:251674624" fillcolor="#92d050"/>
        </w:pict>
      </w:r>
      <w:r>
        <w:rPr>
          <w:b/>
          <w:noProof/>
          <w:lang w:eastAsia="pl-PL"/>
        </w:rPr>
        <w:pict>
          <v:oval id="_x0000_s1045" style="position:absolute;margin-left:259.25pt;margin-top:70.85pt;width:7.15pt;height:7.15pt;z-index:251677696" fillcolor="#92d050"/>
        </w:pict>
      </w:r>
      <w:r>
        <w:rPr>
          <w:b/>
          <w:noProof/>
          <w:lang w:eastAsia="pl-PL"/>
        </w:rPr>
        <w:pict>
          <v:oval id="_x0000_s1046" style="position:absolute;margin-left:333.25pt;margin-top:69.1pt;width:7.15pt;height:7.15pt;z-index:251678720" fillcolor="#92d050"/>
        </w:pict>
      </w:r>
      <w:r>
        <w:rPr>
          <w:b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-18pt;margin-top:73.5pt;width:472.8pt;height:0;flip:y;z-index:251669504" o:connectortype="straight">
            <v:stroke endarrow="block"/>
          </v:shape>
        </w:pict>
      </w:r>
      <w:r>
        <w:rPr>
          <w:b/>
          <w:noProof/>
          <w:lang w:eastAsia="pl-PL"/>
        </w:rPr>
        <w:pict>
          <v:oval id="_x0000_s1047" style="position:absolute;margin-left:382.8pt;margin-top:69.1pt;width:7.15pt;height:7.15pt;z-index:251679744" fillcolor="#92d050"/>
        </w:pict>
      </w:r>
      <w:r>
        <w:rPr>
          <w:b/>
          <w:noProof/>
          <w:lang w:eastAsia="pl-PL"/>
        </w:rPr>
        <w:pict>
          <v:oval id="_x0000_s1035" style="position:absolute;margin-left:96.05pt;margin-top:35.05pt;width:7.15pt;height:7.15pt;z-index:251667456" fillcolor="#92d050"/>
        </w:pict>
      </w:r>
      <w:r>
        <w:rPr>
          <w:b/>
          <w:noProof/>
          <w:lang w:eastAsia="pl-PL"/>
        </w:rPr>
        <w:pict>
          <v:oval id="_x0000_s1034" style="position:absolute;margin-left:92.6pt;margin-top:35.05pt;width:7.15pt;height:7.15pt;z-index:251666432" fillcolor="#92d050"/>
        </w:pict>
      </w:r>
      <w:r>
        <w:rPr>
          <w:b/>
          <w:noProof/>
          <w:lang w:eastAsia="pl-PL"/>
        </w:rPr>
        <w:pict>
          <v:oval id="_x0000_s1033" style="position:absolute;margin-left:85.45pt;margin-top:35.05pt;width:7.15pt;height:7.15pt;z-index:251665408" fillcolor="#92d050"/>
        </w:pict>
      </w:r>
      <w:r>
        <w:rPr>
          <w:b/>
          <w:noProof/>
          <w:lang w:eastAsia="pl-PL"/>
        </w:rPr>
        <w:pict>
          <v:oval id="_x0000_s1032" style="position:absolute;margin-left:68.95pt;margin-top:36.8pt;width:7.15pt;height:7.15pt;z-index:251664384" fillcolor="#92d050"/>
        </w:pict>
      </w:r>
      <w:r>
        <w:rPr>
          <w:b/>
          <w:noProof/>
          <w:lang w:eastAsia="pl-PL"/>
        </w:rPr>
        <w:pict>
          <v:oval id="_x0000_s1031" style="position:absolute;margin-left:72.25pt;margin-top:36.7pt;width:7.15pt;height:7.15pt;z-index:251663360" fillcolor="#92d050"/>
        </w:pict>
      </w:r>
      <w:r>
        <w:rPr>
          <w:b/>
          <w:noProof/>
          <w:lang w:eastAsia="pl-PL"/>
        </w:rPr>
        <w:pict>
          <v:oval id="_x0000_s1030" style="position:absolute;margin-left:54.35pt;margin-top:36.7pt;width:7.15pt;height:7.15pt;z-index:251662336" fillcolor="#92d050"/>
        </w:pict>
      </w:r>
      <w:r>
        <w:rPr>
          <w:b/>
          <w:noProof/>
          <w:lang w:eastAsia="pl-PL"/>
        </w:rPr>
        <w:pict>
          <v:oval id="_x0000_s1029" style="position:absolute;margin-left:65.1pt;margin-top:36.7pt;width:7.15pt;height:7.15pt;z-index:251661312" fillcolor="#92d050"/>
        </w:pict>
      </w:r>
      <w:r>
        <w:rPr>
          <w:b/>
          <w:noProof/>
          <w:lang w:eastAsia="pl-PL"/>
        </w:rPr>
        <w:pict>
          <v:oval id="_x0000_s1028" style="position:absolute;margin-left:43.6pt;margin-top:36.7pt;width:7.15pt;height:7.15pt;z-index:251660288" fillcolor="#92d050"/>
        </w:pict>
      </w:r>
      <w:r>
        <w:rPr>
          <w:b/>
          <w:noProof/>
          <w:lang w:eastAsia="pl-PL"/>
        </w:rPr>
        <w:pict>
          <v:oval id="_x0000_s1027" style="position:absolute;margin-left:29.65pt;margin-top:36.7pt;width:7.15pt;height:7.15pt;z-index:251659264" fillcolor="#92d050"/>
        </w:pict>
      </w:r>
      <w:r>
        <w:rPr>
          <w:b/>
          <w:noProof/>
          <w:lang w:eastAsia="pl-PL"/>
        </w:rPr>
        <w:pict>
          <v:shape id="_x0000_s1026" type="#_x0000_t32" style="position:absolute;margin-left:-14.95pt;margin-top:39.45pt;width:472.8pt;height:0;flip:y;z-index:251658240" o:connectortype="straight">
            <v:stroke endarrow="block"/>
          </v:shape>
        </w:pict>
      </w:r>
      <w:r w:rsidR="000D446F" w:rsidRPr="000D446F">
        <w:rPr>
          <w:b/>
        </w:rPr>
        <w:t>Rozproszenie cechy względem ekstremów</w:t>
      </w:r>
    </w:p>
    <w:p w:rsidR="006F5C00" w:rsidRDefault="006F5C00">
      <w:pPr>
        <w:rPr>
          <w:b/>
        </w:rPr>
      </w:pPr>
    </w:p>
    <w:p w:rsidR="006F5C00" w:rsidRDefault="006F5C00">
      <w:pPr>
        <w:rPr>
          <w:b/>
        </w:rPr>
      </w:pPr>
    </w:p>
    <w:p w:rsidR="006F5C00" w:rsidRDefault="006F5C00">
      <w:pPr>
        <w:rPr>
          <w:b/>
        </w:rPr>
      </w:pPr>
    </w:p>
    <w:p w:rsidR="006F5C00" w:rsidRDefault="006F5C00">
      <w:pPr>
        <w:rPr>
          <w:b/>
        </w:rPr>
      </w:pPr>
    </w:p>
    <w:p w:rsidR="006F5C00" w:rsidRDefault="005E197B">
      <w:pPr>
        <w:rPr>
          <w:b/>
        </w:rPr>
      </w:pPr>
      <w:r>
        <w:rPr>
          <w:b/>
          <w:noProof/>
          <w:lang w:eastAsia="pl-PL"/>
        </w:rPr>
        <w:pict>
          <v:oval id="_x0000_s1038" style="position:absolute;margin-left:28.8pt;margin-top:7.5pt;width:7.15pt;height:7.15pt;z-index:251670528" fillcolor="#92d050"/>
        </w:pict>
      </w:r>
    </w:p>
    <w:p w:rsidR="006F5C00" w:rsidRDefault="006F5C00">
      <w:pPr>
        <w:rPr>
          <w:b/>
        </w:rPr>
      </w:pPr>
    </w:p>
    <w:p w:rsidR="006F5C00" w:rsidRDefault="006F5C00">
      <w:pPr>
        <w:rPr>
          <w:b/>
        </w:rPr>
      </w:pPr>
    </w:p>
    <w:p w:rsidR="006F5C00" w:rsidRDefault="006F5C00">
      <w:pPr>
        <w:rPr>
          <w:b/>
        </w:rPr>
      </w:pPr>
    </w:p>
    <w:p w:rsidR="006F5C00" w:rsidRDefault="006F5C00">
      <w:pPr>
        <w:rPr>
          <w:b/>
        </w:rPr>
      </w:pPr>
      <w:r>
        <w:rPr>
          <w:b/>
        </w:rPr>
        <w:t>Przykład przekształcenia testu dwustronnego w jednostronny</w:t>
      </w:r>
    </w:p>
    <w:p w:rsidR="000A7CA9" w:rsidRDefault="000A7CA9">
      <w:r>
        <w:t>Hipoteza zerowa jest zawsze taka sama (dla testu jedno stronnego i dwustronnego)</w:t>
      </w:r>
    </w:p>
    <w:p w:rsidR="000A7CA9" w:rsidRDefault="000A7CA9">
      <w:r>
        <w:t xml:space="preserve">(H0: </w:t>
      </w:r>
      <w:r w:rsidRPr="00266FD2">
        <w:t>m</w:t>
      </w:r>
      <w:r w:rsidRPr="00266FD2">
        <w:rPr>
          <w:vertAlign w:val="subscript"/>
        </w:rPr>
        <w:t>alfa-przed</w:t>
      </w:r>
      <w:r>
        <w:t xml:space="preserve"> = m</w:t>
      </w:r>
      <w:r w:rsidRPr="00266FD2">
        <w:rPr>
          <w:vertAlign w:val="subscript"/>
        </w:rPr>
        <w:t>alfa-po</w:t>
      </w:r>
      <w:r>
        <w:t>)</w:t>
      </w:r>
    </w:p>
    <w:p w:rsidR="000A7CA9" w:rsidRDefault="000A7CA9"/>
    <w:p w:rsidR="006F5C00" w:rsidRDefault="006F5C00">
      <w:pPr>
        <w:rPr>
          <w:vertAlign w:val="subscript"/>
        </w:rPr>
      </w:pPr>
      <w:r>
        <w:t>P</w:t>
      </w:r>
      <w:r w:rsidR="00266FD2">
        <w:t>rawdopodobieństwo dla hipotezy dwustronnej</w:t>
      </w:r>
      <w:r w:rsidR="000A7CA9" w:rsidRPr="000A7CA9">
        <w:t xml:space="preserve"> </w:t>
      </w:r>
      <w:r w:rsidR="000A7CA9">
        <w:t xml:space="preserve">H1: </w:t>
      </w:r>
      <w:r w:rsidR="000A7CA9" w:rsidRPr="00266FD2">
        <w:t>m</w:t>
      </w:r>
      <w:r w:rsidR="000A7CA9" w:rsidRPr="00266FD2">
        <w:rPr>
          <w:vertAlign w:val="subscript"/>
        </w:rPr>
        <w:t>alfa-przed</w:t>
      </w:r>
      <w:r w:rsidR="000A7CA9">
        <w:t xml:space="preserve"> </w:t>
      </w:r>
      <w:r w:rsidR="000A7CA9">
        <w:rPr>
          <w:rFonts w:cs="Times New Roman"/>
        </w:rPr>
        <w:t>≠</w:t>
      </w:r>
      <w:r w:rsidR="000A7CA9">
        <w:t xml:space="preserve"> m</w:t>
      </w:r>
      <w:r w:rsidR="000A7CA9" w:rsidRPr="00266FD2">
        <w:rPr>
          <w:vertAlign w:val="subscript"/>
        </w:rPr>
        <w:t>alfa-po</w:t>
      </w:r>
      <w:r w:rsidR="00266FD2">
        <w:t>: p</w:t>
      </w:r>
      <w:r>
        <w:t xml:space="preserve">0 </w:t>
      </w:r>
      <w:r>
        <w:sym w:font="Symbol" w:char="F0BB"/>
      </w:r>
      <w:r>
        <w:t xml:space="preserve"> 0,0001</w:t>
      </w:r>
      <w:r w:rsidR="00266FD2">
        <w:t xml:space="preserve">  &lt; 0,05 – odrzucam H0 na korzyść </w:t>
      </w:r>
      <w:r w:rsidR="000A7CA9">
        <w:t>alternatywnej (średnie różnią się istotnie)</w:t>
      </w:r>
    </w:p>
    <w:p w:rsidR="0024096E" w:rsidRDefault="0024096E"/>
    <w:p w:rsidR="00266FD2" w:rsidRDefault="00266FD2" w:rsidP="00266FD2">
      <w:r>
        <w:t xml:space="preserve">Prawdopodobieństwo dla hipotezy </w:t>
      </w:r>
      <w:r w:rsidR="008624AF">
        <w:t xml:space="preserve">alternatywnej </w:t>
      </w:r>
      <w:r>
        <w:t xml:space="preserve">jednostronnej: p0 </w:t>
      </w:r>
      <w:r>
        <w:sym w:font="Symbol" w:char="F0BB"/>
      </w:r>
      <w:r>
        <w:t xml:space="preserve"> 0,0001/2 = 0,00005 tym bardziej odrzucam  </w:t>
      </w:r>
      <w:r w:rsidR="008624AF">
        <w:t xml:space="preserve">H0. Wybieram taka postać H1, na którą wskazują dane. W badanym przypadku dane wskazały na </w:t>
      </w:r>
      <w:r>
        <w:t xml:space="preserve"> </w:t>
      </w:r>
      <w:r w:rsidR="008624AF">
        <w:t xml:space="preserve">następująca </w:t>
      </w:r>
      <w:r>
        <w:t xml:space="preserve">postać jednostronną </w:t>
      </w:r>
      <w:r w:rsidR="008624AF">
        <w:t xml:space="preserve">hipotezy alternatywnej jednostronnej: </w:t>
      </w:r>
      <w:r>
        <w:t xml:space="preserve">H1: </w:t>
      </w:r>
      <w:r w:rsidRPr="00266FD2">
        <w:t>m</w:t>
      </w:r>
      <w:r w:rsidRPr="00266FD2">
        <w:rPr>
          <w:vertAlign w:val="subscript"/>
        </w:rPr>
        <w:t>alfa-przed</w:t>
      </w:r>
      <w:r>
        <w:t xml:space="preserve"> &gt; m</w:t>
      </w:r>
      <w:r w:rsidRPr="00266FD2">
        <w:rPr>
          <w:vertAlign w:val="subscript"/>
        </w:rPr>
        <w:t>alfa-po</w:t>
      </w:r>
      <w:r w:rsidR="008624AF">
        <w:t xml:space="preserve">, co świadczy, że średnia „przed” jest większa </w:t>
      </w:r>
      <w:r w:rsidR="00676EEC">
        <w:t>niż ś</w:t>
      </w:r>
      <w:r w:rsidR="008624AF">
        <w:t>rednia „po”.</w:t>
      </w:r>
    </w:p>
    <w:p w:rsidR="006F5C00" w:rsidRPr="006F5C00" w:rsidRDefault="006F5C00"/>
    <w:p w:rsidR="006F5C00" w:rsidRPr="00337056" w:rsidRDefault="00337056">
      <w:pPr>
        <w:rPr>
          <w:b/>
        </w:rPr>
      </w:pPr>
      <w:r w:rsidRPr="00337056">
        <w:rPr>
          <w:b/>
        </w:rPr>
        <w:t>Badanie kore</w:t>
      </w:r>
      <w:r>
        <w:rPr>
          <w:b/>
        </w:rPr>
        <w:t>l</w:t>
      </w:r>
      <w:r w:rsidRPr="00337056">
        <w:rPr>
          <w:b/>
        </w:rPr>
        <w:t>acji</w:t>
      </w:r>
    </w:p>
    <w:p w:rsidR="006F5C00" w:rsidRPr="006F5C00" w:rsidRDefault="002F7E21">
      <w:r>
        <w:rPr>
          <w:noProof/>
          <w:lang w:val="en-US"/>
        </w:rPr>
        <w:pict>
          <v:group id="_x0000_s1072" style="position:absolute;margin-left:-28.45pt;margin-top:17.05pt;width:355.6pt;height:197.15pt;z-index:251710464" coordorigin="848,11759" coordsize="7112,3943">
            <v:shape id="_x0000_s1052" type="#_x0000_t32" style="position:absolute;left:1813;top:12403;width:5455;height:1913;flip:y" o:connectortype="straight" strokecolor="blue"/>
            <v:shape id="_x0000_s1061" type="#_x0000_t32" style="position:absolute;left:2612;top:11759;width:2758;height:2987;flip:x y" o:connectortype="straight" strokecolor="blue"/>
            <v:group id="_x0000_s1071" style="position:absolute;left:848;top:11773;width:7112;height:3929" coordorigin="848,11762" coordsize="7112,3929">
              <v:shape id="_x0000_s1053" type="#_x0000_t32" style="position:absolute;left:4352;top:11973;width:1577;height:2884;flip:y" o:connectortype="straight" strokecolor="blue"/>
              <v:group id="_x0000_s1070" style="position:absolute;left:848;top:11762;width:7112;height:3929" coordorigin="848,11762" coordsize="7112,392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left:7584;top:13607;width:376;height:441" stroked="f">
                  <v:textbox style="mso-next-textbox:#_x0000_s1050">
                    <w:txbxContent>
                      <w:p w:rsidR="004B01DC" w:rsidRDefault="004B01DC">
                        <w:r>
                          <w:t>X</w:t>
                        </w:r>
                      </w:p>
                    </w:txbxContent>
                  </v:textbox>
                </v:shape>
                <v:shape id="_x0000_s1051" type="#_x0000_t202" style="position:absolute;left:3444;top:11762;width:455;height:415" stroked="f">
                  <v:textbox style="mso-next-textbox:#_x0000_s1051">
                    <w:txbxContent>
                      <w:p w:rsidR="004B01DC" w:rsidRDefault="004B01DC" w:rsidP="004B01DC">
                        <w:r>
                          <w:t>Y</w:t>
                        </w:r>
                      </w:p>
                    </w:txbxContent>
                  </v:textbox>
                </v:shape>
                <v:shape id="_x0000_s1048" type="#_x0000_t32" style="position:absolute;left:848;top:13789;width:6736;height:0" o:connectortype="straight">
                  <v:stroke endarrow="block"/>
                </v:shape>
                <v:shape id="_x0000_s1049" type="#_x0000_t32" style="position:absolute;left:3909;top:11973;width:0;height:3504;flip:y" o:connectortype="straight">
                  <v:stroke endarrow="block"/>
                </v:shape>
                <v:shape id="_x0000_s1054" type="#_x0000_t32" style="position:absolute;left:1178;top:13607;width:5947;height:516;flip:y" o:connectortype="straight" strokecolor="blue"/>
                <v:shape id="_x0000_s1058" style="position:absolute;left:2469;top:12177;width:3009;height:3514" coordsize="3009,3514" path="m,hdc12,39,9,85,32,119v7,11,15,21,21,32c71,187,67,218,96,248v17,83,68,152,108,225c227,515,224,547,258,581v39,124,103,238,161,354c450,998,463,1061,505,1118v36,109,13,69,54,129c585,1331,545,1220,602,1311v10,16,12,37,21,54c635,1388,652,1408,666,1430v32,48,21,64,64,107c749,1593,735,1562,784,1634v7,11,22,32,22,32c822,1716,847,1767,892,1795v44,89,121,201,204,258c1131,2106,1108,2076,1171,2139v51,51,67,120,129,161c1353,2377,1424,2422,1493,2483v19,17,33,40,54,54c1569,2551,1594,2562,1612,2580v33,33,70,67,107,96c1740,2692,1766,2700,1784,2719v64,65,30,43,96,75c1912,2826,1950,2855,1988,2880v28,45,60,63,107,86c2106,2980,2114,2997,2127,3009v19,17,65,43,65,43c2241,3129,2178,3042,2256,3106v10,8,13,23,22,32c2304,3164,2343,3186,2375,3203v38,58,97,93,161,118c2563,3349,2616,3373,2654,3385v45,31,73,34,129,43c2835,3454,2893,3456,2944,3482v12,6,20,16,32,22c2986,3509,3009,3514,3009,3514e" filled="f" strokecolor="#00b050">
                  <v:path arrowok="t"/>
                </v:shape>
                <v:shape id="_x0000_s1069" style="position:absolute;left:2375;top:11973;width:4191;height:3190" coordsize="4191,3190" path="m,3190v223,-5,446,-9,612,-64c778,3071,870,2993,999,2857v129,-136,204,-398,387,-548c1569,2159,1873,2029,2095,1954v222,-75,443,-20,624,-97c2900,1780,3039,1678,3181,1492v142,-186,310,-589,387,-752c3645,577,3600,618,3643,514v43,-104,92,-311,183,-397c3917,31,4054,15,4191,e" filled="f" strokecolor="red">
                  <v:path arrowok="t"/>
                </v:shape>
              </v:group>
            </v:group>
          </v:group>
        </w:pict>
      </w:r>
    </w:p>
    <w:p w:rsidR="006F5C00" w:rsidRPr="006F5C00" w:rsidRDefault="002F7E21">
      <w:r>
        <w:rPr>
          <w:noProof/>
          <w:lang w:val="en-US"/>
        </w:rPr>
        <w:pict>
          <v:shape id="_x0000_s1064" type="#_x0000_t202" style="position:absolute;margin-left:352.45pt;margin-top:8.7pt;width:139.3pt;height:134.25pt;z-index:251694080">
            <v:textbox>
              <w:txbxContent>
                <w:p w:rsidR="007E04F4" w:rsidRPr="007E04F4" w:rsidRDefault="007E04F4">
                  <w:pPr>
                    <w:rPr>
                      <w:color w:val="0000FF"/>
                    </w:rPr>
                  </w:pPr>
                  <w:r w:rsidRPr="007E04F4">
                    <w:rPr>
                      <w:color w:val="0000FF"/>
                    </w:rPr>
                    <w:t>Niebieski – wykresy funkcji liniowych</w:t>
                  </w:r>
                </w:p>
                <w:p w:rsidR="007E04F4" w:rsidRPr="007E04F4" w:rsidRDefault="007E04F4">
                  <w:pPr>
                    <w:rPr>
                      <w:color w:val="00B050"/>
                    </w:rPr>
                  </w:pPr>
                  <w:r w:rsidRPr="007E04F4">
                    <w:rPr>
                      <w:color w:val="00B050"/>
                    </w:rPr>
                    <w:t>Zielony – wykres funkcji monotonicznej (malejącej) nieliniowej</w:t>
                  </w:r>
                </w:p>
                <w:p w:rsidR="007E04F4" w:rsidRPr="007E04F4" w:rsidRDefault="007E04F4" w:rsidP="007E04F4">
                  <w:pPr>
                    <w:rPr>
                      <w:color w:val="C00000"/>
                    </w:rPr>
                  </w:pPr>
                  <w:r w:rsidRPr="007E04F4">
                    <w:rPr>
                      <w:color w:val="C00000"/>
                    </w:rPr>
                    <w:t>Czerwony – wykres funkcji monotonicznej (rosnącej) nieliniowej</w:t>
                  </w:r>
                </w:p>
                <w:p w:rsidR="007E04F4" w:rsidRDefault="007E04F4"/>
              </w:txbxContent>
            </v:textbox>
          </v:shape>
        </w:pict>
      </w:r>
    </w:p>
    <w:p w:rsidR="006F5C00" w:rsidRPr="006F5C00" w:rsidRDefault="006F5C00"/>
    <w:p w:rsidR="006F5C00" w:rsidRPr="006F5C00" w:rsidRDefault="006F5C00"/>
    <w:p w:rsidR="000B73C7" w:rsidRDefault="000B73C7">
      <w:pPr>
        <w:rPr>
          <w:b/>
        </w:rPr>
      </w:pPr>
    </w:p>
    <w:p w:rsidR="000B73C7" w:rsidRDefault="000B73C7">
      <w:pPr>
        <w:rPr>
          <w:b/>
        </w:rPr>
      </w:pPr>
    </w:p>
    <w:p w:rsidR="000B73C7" w:rsidRDefault="000B73C7">
      <w:pPr>
        <w:rPr>
          <w:b/>
        </w:rPr>
      </w:pPr>
    </w:p>
    <w:p w:rsidR="000B73C7" w:rsidRDefault="000B73C7">
      <w:pPr>
        <w:rPr>
          <w:b/>
        </w:rPr>
      </w:pPr>
    </w:p>
    <w:p w:rsidR="000B73C7" w:rsidRDefault="000B73C7">
      <w:pPr>
        <w:rPr>
          <w:b/>
        </w:rPr>
      </w:pPr>
    </w:p>
    <w:p w:rsidR="000B73C7" w:rsidRDefault="000B73C7">
      <w:pPr>
        <w:rPr>
          <w:b/>
        </w:rPr>
      </w:pPr>
    </w:p>
    <w:p w:rsidR="006F5C00" w:rsidRDefault="006F5C00">
      <w:pPr>
        <w:rPr>
          <w:b/>
        </w:rPr>
      </w:pPr>
    </w:p>
    <w:p w:rsidR="000B73C7" w:rsidRDefault="000B73C7">
      <w:pPr>
        <w:rPr>
          <w:b/>
        </w:rPr>
      </w:pPr>
    </w:p>
    <w:p w:rsidR="000B73C7" w:rsidRDefault="000B73C7">
      <w:pPr>
        <w:rPr>
          <w:b/>
        </w:rPr>
      </w:pPr>
    </w:p>
    <w:p w:rsidR="000B73C7" w:rsidRDefault="000B73C7">
      <w:pPr>
        <w:rPr>
          <w:b/>
        </w:rPr>
      </w:pPr>
    </w:p>
    <w:p w:rsidR="000B73C7" w:rsidRPr="000D446F" w:rsidRDefault="000B73C7">
      <w:pPr>
        <w:rPr>
          <w:b/>
        </w:rPr>
      </w:pPr>
      <w:bookmarkStart w:id="0" w:name="_GoBack"/>
      <w:bookmarkEnd w:id="0"/>
    </w:p>
    <w:sectPr w:rsidR="000B73C7" w:rsidRPr="000D446F" w:rsidSect="00271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04AC"/>
    <w:rsid w:val="0006153F"/>
    <w:rsid w:val="00097464"/>
    <w:rsid w:val="000A7CA9"/>
    <w:rsid w:val="000B73C7"/>
    <w:rsid w:val="000D446F"/>
    <w:rsid w:val="001A1690"/>
    <w:rsid w:val="00206A1F"/>
    <w:rsid w:val="0024096E"/>
    <w:rsid w:val="00266FD2"/>
    <w:rsid w:val="00271ACD"/>
    <w:rsid w:val="002E0117"/>
    <w:rsid w:val="002F7E21"/>
    <w:rsid w:val="00337056"/>
    <w:rsid w:val="00467038"/>
    <w:rsid w:val="004B01DC"/>
    <w:rsid w:val="004F5B3E"/>
    <w:rsid w:val="005A244B"/>
    <w:rsid w:val="005E197B"/>
    <w:rsid w:val="006339E5"/>
    <w:rsid w:val="00676EEC"/>
    <w:rsid w:val="006F5C00"/>
    <w:rsid w:val="007B71CF"/>
    <w:rsid w:val="007E04F4"/>
    <w:rsid w:val="008624AF"/>
    <w:rsid w:val="008C04AC"/>
    <w:rsid w:val="008E7849"/>
    <w:rsid w:val="008F5C3E"/>
    <w:rsid w:val="00AC5064"/>
    <w:rsid w:val="00C66270"/>
    <w:rsid w:val="00CB1611"/>
    <w:rsid w:val="00F0646A"/>
    <w:rsid w:val="00F87007"/>
    <w:rsid w:val="00F9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_x0000_s1037"/>
        <o:r id="V:Rule2" type="connector" idref="#_x0000_s1048"/>
        <o:r id="V:Rule3" type="connector" idref="#_x0000_s1026"/>
        <o:r id="V:Rule4" type="connector" idref="#_x0000_s1052"/>
        <o:r id="V:Rule5" type="connector" idref="#_x0000_s1053"/>
        <o:r id="V:Rule6" type="connector" idref="#_x0000_s1061"/>
        <o:r id="V:Rule7" type="connector" idref="#_x0000_s1054"/>
        <o:r id="V:Rule8" type="connector" idref="#_x0000_s1049"/>
      </o:rules>
    </o:shapelayout>
  </w:shapeDefaults>
  <w:decimalSymbol w:val=","/>
  <w:listSeparator w:val=";"/>
  <w15:docId w15:val="{93F9DC39-8BAC-434A-A590-5D7096B0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FDA"/>
    <w:pPr>
      <w:spacing w:after="0"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HP</cp:lastModifiedBy>
  <cp:revision>20</cp:revision>
  <dcterms:created xsi:type="dcterms:W3CDTF">2021-03-09T13:34:00Z</dcterms:created>
  <dcterms:modified xsi:type="dcterms:W3CDTF">2022-03-07T16:47:00Z</dcterms:modified>
</cp:coreProperties>
</file>